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987888" w:rsidRPr="00AF1246" w:rsidRDefault="00662C2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r w:rsidR="00987888" w:rsidRPr="00AF1246">
        <w:rPr>
          <w:sz w:val="23"/>
          <w:szCs w:val="23"/>
        </w:rPr>
        <w:t>____________</w:t>
      </w:r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6125F2">
            <w:rPr>
              <w:rFonts w:ascii="Times New Roman" w:hAnsi="Times New Roman"/>
              <w:b/>
              <w:sz w:val="23"/>
              <w:szCs w:val="23"/>
            </w:rPr>
            <w:t>по капитальному ремонту установки ВТ-3 цех № 1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proofErr w:type="gramStart"/>
          <w:r w:rsidR="00300DD5">
            <w:rPr>
              <w:rFonts w:ascii="Times New Roman" w:hAnsi="Times New Roman"/>
              <w:b/>
              <w:sz w:val="23"/>
              <w:szCs w:val="23"/>
            </w:rPr>
            <w:t>согласно графика</w:t>
          </w:r>
          <w:proofErr w:type="gramEnd"/>
          <w:r w:rsidR="00300DD5">
            <w:rPr>
              <w:rFonts w:ascii="Times New Roman" w:hAnsi="Times New Roman"/>
              <w:b/>
              <w:sz w:val="23"/>
              <w:szCs w:val="23"/>
            </w:rPr>
            <w:t xml:space="preserve"> простоев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</w:t>
          </w:r>
          <w:bookmarkStart w:id="2" w:name="_GoBack"/>
          <w:bookmarkEnd w:id="2"/>
          <w:r w:rsidR="004E2F72" w:rsidRPr="004E2F72">
            <w:rPr>
              <w:rFonts w:ascii="Times New Roman" w:hAnsi="Times New Roman"/>
              <w:sz w:val="23"/>
              <w:szCs w:val="23"/>
            </w:rPr>
            <w:t>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5B3D88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Заказчик 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B8E178DAB6CE40528F5DED968865ABF5"/>
              </w:placeholder>
            </w:sdtPr>
            <w:sdtContent>
              <w:r>
                <w:rPr>
                  <w:rFonts w:ascii="Times New Roman" w:hAnsi="Times New Roman"/>
                  <w:sz w:val="23"/>
                  <w:szCs w:val="23"/>
                </w:rPr>
                <w:t xml:space="preserve">установку </w:t>
              </w:r>
              <w:r>
                <w:rPr>
                  <w:rFonts w:ascii="Times New Roman" w:hAnsi="Times New Roman"/>
                  <w:sz w:val="23"/>
                  <w:szCs w:val="23"/>
                </w:rPr>
                <w:t>ВТ-3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6125F2" w:rsidRDefault="006125F2" w:rsidP="006125F2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Общий срок выполнения работ по Договору:</w:t>
          </w:r>
        </w:p>
        <w:p w:rsidR="006125F2" w:rsidRPr="0018623F" w:rsidRDefault="006125F2" w:rsidP="006125F2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 w:rsidRPr="0018623F">
            <w:rPr>
              <w:rFonts w:ascii="Times New Roman" w:hAnsi="Times New Roman"/>
              <w:sz w:val="23"/>
              <w:szCs w:val="23"/>
            </w:rPr>
            <w:t>январь 2017 г., окончание работ –  март 2017 г</w:t>
          </w:r>
          <w:proofErr w:type="gramStart"/>
          <w:r w:rsidRPr="0018623F">
            <w:rPr>
              <w:rFonts w:ascii="Times New Roman" w:hAnsi="Times New Roman"/>
              <w:sz w:val="23"/>
              <w:szCs w:val="23"/>
            </w:rPr>
            <w:t>..</w:t>
          </w:r>
          <w:proofErr w:type="gramEnd"/>
        </w:p>
        <w:p w:rsidR="006125F2" w:rsidRPr="0018623F" w:rsidRDefault="006125F2" w:rsidP="006125F2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18623F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6125F2" w:rsidRPr="0018623F" w:rsidRDefault="006125F2" w:rsidP="006125F2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18623F">
            <w:rPr>
              <w:rFonts w:ascii="Times New Roman" w:hAnsi="Times New Roman"/>
              <w:sz w:val="23"/>
              <w:szCs w:val="23"/>
            </w:rPr>
            <w:t xml:space="preserve">- 1 этап: выполнение работ в </w:t>
          </w:r>
          <w:proofErr w:type="spellStart"/>
          <w:r w:rsidRPr="0018623F">
            <w:rPr>
              <w:rFonts w:ascii="Times New Roman" w:hAnsi="Times New Roman"/>
              <w:sz w:val="23"/>
              <w:szCs w:val="23"/>
            </w:rPr>
            <w:t>предостановочный</w:t>
          </w:r>
          <w:proofErr w:type="spellEnd"/>
          <w:r w:rsidRPr="0018623F">
            <w:rPr>
              <w:rFonts w:ascii="Times New Roman" w:hAnsi="Times New Roman"/>
              <w:sz w:val="23"/>
              <w:szCs w:val="23"/>
            </w:rPr>
            <w:t xml:space="preserve"> период (работы по выписке из дефектной ведомости, которые можно выполнить на действующем объекте), начало работ –  январь 2017 г., окончание работ –   март 2017 г.;</w:t>
          </w:r>
        </w:p>
        <w:p w:rsidR="006125F2" w:rsidRDefault="006125F2" w:rsidP="006125F2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18623F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сроки выполнения работ – март 2017 г., </w:t>
          </w:r>
          <w:proofErr w:type="gramStart"/>
          <w:r w:rsidRPr="0018623F">
            <w:rPr>
              <w:rFonts w:ascii="Times New Roman" w:hAnsi="Times New Roman"/>
              <w:sz w:val="23"/>
              <w:szCs w:val="23"/>
            </w:rPr>
            <w:t>согласно</w:t>
          </w:r>
          <w:proofErr w:type="gramEnd"/>
          <w:r w:rsidRPr="0018623F">
            <w:rPr>
              <w:rFonts w:ascii="Times New Roman" w:hAnsi="Times New Roman"/>
              <w:sz w:val="23"/>
              <w:szCs w:val="23"/>
            </w:rPr>
            <w:t xml:space="preserve"> укрупненного графика проведения работ (Приложение № 3 к Договору). </w:t>
          </w:r>
          <w:r w:rsidRPr="0018623F">
            <w:rPr>
              <w:rFonts w:ascii="Times New Roman" w:hAnsi="Times New Roman"/>
              <w:sz w:val="24"/>
            </w:rPr>
            <w:t>Дату начала работ Заказчик сообщит Подрядчику</w:t>
          </w:r>
          <w:r w:rsidRPr="00EA2FD2">
            <w:rPr>
              <w:rFonts w:ascii="Times New Roman" w:hAnsi="Times New Roman"/>
              <w:sz w:val="24"/>
            </w:rPr>
            <w:t xml:space="preserve"> не менее чем за 10 календарных дней до начала работ.</w:t>
          </w:r>
        </w:p>
        <w:p w:rsidR="004E2F72" w:rsidRPr="006125F2" w:rsidRDefault="006125F2" w:rsidP="006125F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proofErr w:type="gramStart"/>
          <w:r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662C2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1D3474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</w:t>
      </w:r>
      <w:r w:rsidR="009F7729">
        <w:rPr>
          <w:rFonts w:ascii="Times New Roman" w:hAnsi="Times New Roman"/>
          <w:color w:val="000000"/>
          <w:sz w:val="23"/>
          <w:szCs w:val="23"/>
        </w:rPr>
        <w:lastRenderedPageBreak/>
        <w:t xml:space="preserve">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662C28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6125F2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% от стоимости работ по настоящему Договору, указанной в п. 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begin"/>
          </w:r>
          <w:r w:rsidR="00EB2CC6" w:rsidRPr="00AF1246">
            <w:rPr>
              <w:rFonts w:ascii="Times New Roman" w:hAnsi="Times New Roman"/>
              <w:sz w:val="23"/>
              <w:szCs w:val="23"/>
            </w:rPr>
            <w:instrText xml:space="preserve"> REF _Ref438644310 \r \h </w:instrText>
          </w:r>
          <w:r w:rsidR="00AF1246">
            <w:rPr>
              <w:rFonts w:ascii="Times New Roman" w:hAnsi="Times New Roman"/>
              <w:sz w:val="23"/>
              <w:szCs w:val="23"/>
            </w:rPr>
            <w:instrText xml:space="preserve"> \* MERGEFORMAT </w:instrText>
          </w:r>
          <w:r w:rsidR="00EB2CC6" w:rsidRPr="00AF1246">
            <w:rPr>
              <w:rFonts w:ascii="Times New Roman" w:hAnsi="Times New Roman"/>
              <w:sz w:val="23"/>
              <w:szCs w:val="23"/>
            </w:rPr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separate"/>
          </w:r>
          <w:r w:rsidR="001D3474">
            <w:rPr>
              <w:rFonts w:ascii="Times New Roman" w:hAnsi="Times New Roman"/>
              <w:sz w:val="23"/>
              <w:szCs w:val="23"/>
            </w:rPr>
            <w:t>3.1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4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lastRenderedPageBreak/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6125F2">
            <w:rPr>
              <w:rFonts w:ascii="Times New Roman" w:hAnsi="Times New Roman"/>
              <w:sz w:val="23"/>
              <w:szCs w:val="23"/>
            </w:rPr>
            <w:t>80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6125F2">
            <w:rPr>
              <w:rFonts w:ascii="Times New Roman" w:hAnsi="Times New Roman"/>
              <w:sz w:val="23"/>
              <w:szCs w:val="23"/>
            </w:rPr>
            <w:t>20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_Ref438644498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 w:rsidR="00FC186C">
        <w:rPr>
          <w:rFonts w:ascii="Times New Roman" w:hAnsi="Times New Roman"/>
          <w:sz w:val="23"/>
          <w:szCs w:val="23"/>
        </w:rPr>
        <w:t>; о</w:t>
      </w:r>
      <w:r w:rsidR="00FC186C" w:rsidRPr="00FC186C">
        <w:rPr>
          <w:rFonts w:ascii="Times New Roman" w:hAnsi="Times New Roman"/>
          <w:sz w:val="23"/>
          <w:szCs w:val="23"/>
        </w:rPr>
        <w:t>бе</w:t>
      </w:r>
      <w:r w:rsidR="00FC186C"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="00FC186C"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 w:rsidR="00FC186C"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FC186C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84BFE" w:rsidRPr="00AF1246" w:rsidRDefault="00384BFE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Назначить лиц из числа персонала Подрядчика ответственных за противопожарное состояние зданий и сооружений, </w:t>
      </w:r>
      <w:r w:rsidR="00763E4D" w:rsidRPr="00AF1246">
        <w:rPr>
          <w:rFonts w:ascii="Times New Roman" w:hAnsi="Times New Roman"/>
          <w:sz w:val="23"/>
          <w:szCs w:val="23"/>
        </w:rPr>
        <w:t>используемых</w:t>
      </w:r>
      <w:r w:rsidRPr="00AF1246">
        <w:rPr>
          <w:rFonts w:ascii="Times New Roman" w:hAnsi="Times New Roman"/>
          <w:sz w:val="23"/>
          <w:szCs w:val="23"/>
        </w:rPr>
        <w:t xml:space="preserve">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 xml:space="preserve"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6.21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2"/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3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3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6.36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</w:t>
      </w:r>
      <w:r w:rsidR="00DE6742">
        <w:rPr>
          <w:rFonts w:ascii="Times New Roman" w:hAnsi="Times New Roman"/>
          <w:sz w:val="23"/>
          <w:szCs w:val="23"/>
        </w:rPr>
        <w:t>авальческих материалов</w:t>
      </w:r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4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невыполненных работ.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3519C9">
        <w:rPr>
          <w:sz w:val="23"/>
          <w:szCs w:val="23"/>
        </w:rPr>
        <w:fldChar w:fldCharType="begin"/>
      </w:r>
      <w:r w:rsidR="003519C9">
        <w:rPr>
          <w:sz w:val="23"/>
          <w:szCs w:val="23"/>
        </w:rPr>
        <w:instrText xml:space="preserve"> REF _Ref442252718 \r \h </w:instrText>
      </w:r>
      <w:r w:rsidR="003519C9">
        <w:rPr>
          <w:sz w:val="23"/>
          <w:szCs w:val="23"/>
        </w:rPr>
      </w:r>
      <w:r w:rsidR="003519C9">
        <w:rPr>
          <w:sz w:val="23"/>
          <w:szCs w:val="23"/>
        </w:rPr>
        <w:fldChar w:fldCharType="separate"/>
      </w:r>
      <w:r w:rsidR="003519C9">
        <w:rPr>
          <w:sz w:val="23"/>
          <w:szCs w:val="23"/>
        </w:rPr>
        <w:t>3.4</w:t>
      </w:r>
      <w:r w:rsidR="003519C9">
        <w:rPr>
          <w:sz w:val="23"/>
          <w:szCs w:val="23"/>
        </w:rPr>
        <w:fldChar w:fldCharType="end"/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_Ref438644919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6.18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1B5158" w:rsidRPr="00AF1246" w:rsidRDefault="001B5158" w:rsidP="00DB56C9">
      <w:pPr>
        <w:pStyle w:val="32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</w:t>
      </w:r>
      <w:proofErr w:type="gramEnd"/>
      <w:r w:rsidRPr="00AF1246">
        <w:rPr>
          <w:sz w:val="23"/>
          <w:szCs w:val="23"/>
        </w:rPr>
        <w:t xml:space="preserve"> В случае совершения нарушения группой лиц сумма штрафа составляет 200 000 рублей.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6.36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неисполнения Подрядчиком обязанностей, предусмотренных п</w:t>
      </w:r>
      <w:r w:rsidR="005266D4" w:rsidRPr="00AF1246">
        <w:rPr>
          <w:sz w:val="23"/>
          <w:szCs w:val="23"/>
        </w:rPr>
        <w:t xml:space="preserve">. </w:t>
      </w:r>
      <w:r w:rsidR="005266D4" w:rsidRPr="00AF1246">
        <w:rPr>
          <w:sz w:val="23"/>
          <w:szCs w:val="23"/>
          <w:highlight w:val="yellow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  <w:highlight w:val="yellow"/>
        </w:rPr>
        <w:instrText xml:space="preserve"> \* MERGEFORMAT </w:instrText>
      </w:r>
      <w:r w:rsidR="005266D4" w:rsidRPr="00AF1246">
        <w:rPr>
          <w:sz w:val="23"/>
          <w:szCs w:val="23"/>
          <w:highlight w:val="yellow"/>
        </w:rPr>
      </w:r>
      <w:r w:rsidR="005266D4" w:rsidRPr="00AF1246">
        <w:rPr>
          <w:sz w:val="23"/>
          <w:szCs w:val="23"/>
          <w:highlight w:val="yellow"/>
        </w:rPr>
        <w:fldChar w:fldCharType="separate"/>
      </w:r>
      <w:r w:rsidR="001D3474">
        <w:rPr>
          <w:sz w:val="23"/>
          <w:szCs w:val="23"/>
        </w:rPr>
        <w:t>6.24</w:t>
      </w:r>
      <w:r w:rsidR="005266D4" w:rsidRPr="00AF1246">
        <w:rPr>
          <w:sz w:val="23"/>
          <w:szCs w:val="23"/>
          <w:highlight w:val="yellow"/>
        </w:rPr>
        <w:fldChar w:fldCharType="end"/>
      </w:r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1D3474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1D3474">
        <w:rPr>
          <w:rFonts w:ascii="Times New Roman" w:hAnsi="Times New Roman"/>
          <w:iCs/>
          <w:sz w:val="23"/>
          <w:szCs w:val="23"/>
        </w:rPr>
        <w:t>6.18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5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6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6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</w:t>
      </w:r>
      <w:r w:rsidRPr="00AF1246">
        <w:rPr>
          <w:sz w:val="23"/>
          <w:szCs w:val="23"/>
        </w:rPr>
        <w:lastRenderedPageBreak/>
        <w:t xml:space="preserve">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6125F2">
            <w:rPr>
              <w:sz w:val="23"/>
              <w:szCs w:val="23"/>
            </w:rPr>
            <w:t>30.09.2017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>______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proofErr w:type="gramEnd"/>
        </w:p>
        <w:p w:rsidR="001B5158" w:rsidRPr="00AF1246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F1246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AF1246">
              <w:rPr>
                <w:rFonts w:ascii="Times New Roman" w:hAnsi="Times New Roman"/>
                <w:sz w:val="23"/>
                <w:szCs w:val="23"/>
              </w:rPr>
              <w:t>/сч 40702810200004268190</w:t>
            </w:r>
          </w:p>
          <w:p w:rsidR="00D7787E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B5158" w:rsidRPr="00AF1246" w:rsidRDefault="00D7787E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9"/>
      <w:footerReference w:type="default" r:id="rId10"/>
      <w:headerReference w:type="first" r:id="rId11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C28" w:rsidRDefault="00662C28" w:rsidP="00D736E8">
      <w:pPr>
        <w:spacing w:before="0"/>
      </w:pPr>
      <w:r>
        <w:separator/>
      </w:r>
    </w:p>
  </w:endnote>
  <w:endnote w:type="continuationSeparator" w:id="0">
    <w:p w:rsidR="00662C28" w:rsidRDefault="00662C28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D88">
          <w:rPr>
            <w:noProof/>
          </w:rPr>
          <w:t>12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C28" w:rsidRDefault="00662C28" w:rsidP="00D736E8">
      <w:pPr>
        <w:spacing w:before="0"/>
      </w:pPr>
      <w:r>
        <w:separator/>
      </w:r>
    </w:p>
  </w:footnote>
  <w:footnote w:type="continuationSeparator" w:id="0">
    <w:p w:rsidR="00662C28" w:rsidRDefault="00662C28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tIbGEpoEUlE0y9ArWwNuu4JhYy4=" w:salt="fnokQk5gy+eiDxquBhpyK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D127D"/>
    <w:rsid w:val="002D3275"/>
    <w:rsid w:val="002D72FF"/>
    <w:rsid w:val="002E6EE2"/>
    <w:rsid w:val="0030036D"/>
    <w:rsid w:val="00300DD5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B3D88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25F2"/>
    <w:rsid w:val="00617C9C"/>
    <w:rsid w:val="006225C1"/>
    <w:rsid w:val="00622EC5"/>
    <w:rsid w:val="00644267"/>
    <w:rsid w:val="006444E5"/>
    <w:rsid w:val="00647F51"/>
    <w:rsid w:val="00662C28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161A2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36190"/>
    <w:rsid w:val="00C46057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50B"/>
    <w:rsid w:val="00DA3BF1"/>
    <w:rsid w:val="00DA4A3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8E178DAB6CE40528F5DED968865AB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E7B8C0-CB75-4F9E-B766-B50E9E11BEF8}"/>
      </w:docPartPr>
      <w:docPartBody>
        <w:p w:rsidR="00000000" w:rsidRDefault="0056158B" w:rsidP="0056158B">
          <w:pPr>
            <w:pStyle w:val="B8E178DAB6CE40528F5DED968865ABF5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155920"/>
    <w:rsid w:val="00166F4B"/>
    <w:rsid w:val="00174710"/>
    <w:rsid w:val="001B66A6"/>
    <w:rsid w:val="0056158B"/>
    <w:rsid w:val="00620C59"/>
    <w:rsid w:val="00627FF0"/>
    <w:rsid w:val="0071089D"/>
    <w:rsid w:val="00866220"/>
    <w:rsid w:val="009F44BC"/>
    <w:rsid w:val="00B06720"/>
    <w:rsid w:val="00BA2AC3"/>
    <w:rsid w:val="00C06D7D"/>
    <w:rsid w:val="00C8059B"/>
    <w:rsid w:val="00CE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6158B"/>
    <w:rPr>
      <w:color w:val="808080"/>
    </w:rPr>
  </w:style>
  <w:style w:type="paragraph" w:customStyle="1" w:styleId="B8E178DAB6CE40528F5DED968865ABF5">
    <w:name w:val="B8E178DAB6CE40528F5DED968865ABF5"/>
    <w:rsid w:val="0056158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6158B"/>
    <w:rPr>
      <w:color w:val="808080"/>
    </w:rPr>
  </w:style>
  <w:style w:type="paragraph" w:customStyle="1" w:styleId="B8E178DAB6CE40528F5DED968865ABF5">
    <w:name w:val="B8E178DAB6CE40528F5DED968865ABF5"/>
    <w:rsid w:val="005615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A0D73-03E3-4DA0-9345-60115B939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6166</Words>
  <Characters>35147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Бахвалов Вячеслав Львович</cp:lastModifiedBy>
  <cp:revision>4</cp:revision>
  <cp:lastPrinted>2015-12-03T06:22:00Z</cp:lastPrinted>
  <dcterms:created xsi:type="dcterms:W3CDTF">2016-07-25T13:29:00Z</dcterms:created>
  <dcterms:modified xsi:type="dcterms:W3CDTF">2016-07-25T13:46:00Z</dcterms:modified>
</cp:coreProperties>
</file>